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213" w:after="100" w:afterAutospacing="1" w:line="187" w:lineRule="atLeast"/>
        <w:jc w:val="left"/>
        <w:rPr>
          <w:rFonts w:ascii="微软雅黑" w:hAnsi="微软雅黑" w:eastAsia="微软雅黑" w:cs="宋体"/>
          <w:color w:val="3A3A3A"/>
          <w:kern w:val="0"/>
          <w:sz w:val="19"/>
          <w:szCs w:val="19"/>
        </w:rPr>
      </w:pPr>
    </w:p>
    <w:p>
      <w:pPr>
        <w:widowControl/>
        <w:spacing w:after="133" w:line="427" w:lineRule="atLeast"/>
        <w:jc w:val="center"/>
        <w:rPr>
          <w:rFonts w:ascii="微软雅黑" w:hAnsi="微软雅黑" w:eastAsia="微软雅黑" w:cs="宋体"/>
          <w:color w:val="3A3A3A"/>
          <w:kern w:val="0"/>
          <w:sz w:val="30"/>
          <w:szCs w:val="30"/>
        </w:rPr>
      </w:pPr>
      <w:r>
        <w:rPr>
          <w:rFonts w:hint="eastAsia" w:ascii="方正小标宋简体" w:hAnsi="微软雅黑" w:eastAsia="方正小标宋简体" w:cs="宋体"/>
          <w:color w:val="3A3A3A"/>
          <w:kern w:val="0"/>
          <w:sz w:val="30"/>
          <w:szCs w:val="30"/>
          <w:shd w:val="clear" w:color="auto" w:fill="FFFFFF"/>
        </w:rPr>
        <w:t>山西西山煤电房地产开发有限责任公司</w:t>
      </w:r>
    </w:p>
    <w:p>
      <w:pPr>
        <w:widowControl/>
        <w:spacing w:after="133" w:line="427" w:lineRule="atLeast"/>
        <w:jc w:val="center"/>
        <w:rPr>
          <w:rFonts w:ascii="微软雅黑" w:hAnsi="微软雅黑" w:eastAsia="微软雅黑" w:cs="宋体"/>
          <w:color w:val="3A3A3A"/>
          <w:kern w:val="0"/>
          <w:sz w:val="30"/>
          <w:szCs w:val="30"/>
        </w:rPr>
      </w:pPr>
      <w:r>
        <w:rPr>
          <w:rFonts w:hint="eastAsia" w:ascii="方正小标宋简体" w:hAnsi="微软雅黑" w:eastAsia="方正小标宋简体" w:cs="宋体"/>
          <w:color w:val="3A3A3A"/>
          <w:kern w:val="0"/>
          <w:sz w:val="30"/>
          <w:szCs w:val="30"/>
          <w:shd w:val="clear" w:color="auto" w:fill="FFFFFF"/>
        </w:rPr>
        <w:t>2021年一季度（1-3月份）财务重大信息</w:t>
      </w:r>
    </w:p>
    <w:p>
      <w:pPr>
        <w:widowControl/>
        <w:spacing w:after="133" w:line="520" w:lineRule="atLeast"/>
        <w:ind w:firstLine="573"/>
        <w:rPr>
          <w:rFonts w:ascii="微软雅黑" w:hAnsi="微软雅黑" w:eastAsia="微软雅黑" w:cs="宋体"/>
          <w:color w:val="3A3A3A"/>
          <w:kern w:val="0"/>
          <w:szCs w:val="21"/>
        </w:rPr>
      </w:pPr>
      <w:r>
        <w:rPr>
          <w:rFonts w:hint="eastAsia" w:ascii="宋体" w:hAnsi="宋体" w:eastAsia="宋体" w:cs="宋体"/>
          <w:color w:val="3A3A3A"/>
          <w:kern w:val="0"/>
          <w:sz w:val="28"/>
          <w:szCs w:val="28"/>
          <w:shd w:val="clear" w:color="auto" w:fill="FFFFFF"/>
        </w:rPr>
        <w:t> </w:t>
      </w:r>
    </w:p>
    <w:p>
      <w:pPr>
        <w:widowControl/>
        <w:spacing w:after="133" w:line="520" w:lineRule="atLeast"/>
        <w:ind w:firstLine="573"/>
        <w:rPr>
          <w:rFonts w:hint="eastAsia" w:ascii="微软雅黑" w:hAnsi="微软雅黑" w:eastAsia="微软雅黑" w:cs="宋体"/>
          <w:color w:val="3A3A3A"/>
          <w:kern w:val="0"/>
          <w:sz w:val="28"/>
          <w:szCs w:val="28"/>
        </w:rPr>
      </w:pPr>
      <w:r>
        <w:rPr>
          <w:rFonts w:hint="eastAsia" w:ascii="黑体" w:hAnsi="黑体" w:eastAsia="黑体" w:cs="宋体"/>
          <w:color w:val="3A3A3A"/>
          <w:kern w:val="0"/>
          <w:sz w:val="28"/>
          <w:szCs w:val="28"/>
          <w:shd w:val="clear" w:color="auto" w:fill="FFFFFF"/>
        </w:rPr>
        <w:t>一、企业基本情况</w:t>
      </w:r>
    </w:p>
    <w:p>
      <w:pPr>
        <w:spacing w:line="620" w:lineRule="exact"/>
        <w:ind w:firstLine="600"/>
        <w:rPr>
          <w:rFonts w:ascii="仿宋" w:hAnsi="仿宋" w:eastAsia="仿宋" w:cs="Times New Roman"/>
          <w:sz w:val="28"/>
          <w:szCs w:val="28"/>
        </w:rPr>
      </w:pPr>
      <w:r>
        <w:rPr>
          <w:rFonts w:hint="eastAsia" w:ascii="仿宋" w:hAnsi="仿宋" w:eastAsia="仿宋" w:cs="Times New Roman"/>
          <w:sz w:val="28"/>
          <w:szCs w:val="28"/>
        </w:rPr>
        <w:t>2010年11月17日</w:t>
      </w:r>
      <w:r>
        <w:rPr>
          <w:rFonts w:hint="eastAsia" w:ascii="仿宋" w:hAnsi="仿宋" w:eastAsia="仿宋" w:cs="Times New Roman"/>
          <w:sz w:val="28"/>
          <w:szCs w:val="28"/>
          <w:lang w:eastAsia="zh-CN"/>
        </w:rPr>
        <w:t>，</w:t>
      </w:r>
      <w:r>
        <w:rPr>
          <w:rFonts w:hint="eastAsia" w:ascii="仿宋" w:hAnsi="仿宋" w:eastAsia="仿宋" w:cs="Times New Roman"/>
          <w:sz w:val="28"/>
          <w:szCs w:val="28"/>
        </w:rPr>
        <w:t>西山煤电建筑集团有限公司出资设立山西西山煤电房地产开发有限责任公司。注册资金壹仟万人民币。</w:t>
      </w:r>
    </w:p>
    <w:p>
      <w:pPr>
        <w:spacing w:line="620" w:lineRule="exact"/>
        <w:rPr>
          <w:rFonts w:hint="eastAsia" w:ascii="仿宋" w:hAnsi="仿宋" w:eastAsia="仿宋" w:cs="Times New Roman"/>
          <w:sz w:val="28"/>
          <w:szCs w:val="28"/>
        </w:rPr>
      </w:pPr>
      <w:r>
        <w:rPr>
          <w:rFonts w:hint="eastAsia" w:ascii="仿宋" w:hAnsi="仿宋" w:eastAsia="仿宋" w:cs="Times New Roman"/>
          <w:sz w:val="28"/>
          <w:szCs w:val="28"/>
        </w:rPr>
        <w:t xml:space="preserve">    经营范围：主要从事房地产开发及销售；物业管理；建筑材料的销售；房地产经纪；自有房屋的出租。具有房地产开发四级资质。</w:t>
      </w:r>
    </w:p>
    <w:p>
      <w:pPr>
        <w:spacing w:line="620" w:lineRule="exact"/>
        <w:ind w:firstLine="420" w:firstLineChars="150"/>
        <w:rPr>
          <w:rFonts w:hint="eastAsia" w:ascii="仿宋" w:hAnsi="仿宋" w:eastAsia="仿宋" w:cs="Times New Roman"/>
          <w:sz w:val="28"/>
          <w:szCs w:val="28"/>
          <w:lang w:eastAsia="zh-CN"/>
        </w:rPr>
      </w:pPr>
      <w:r>
        <w:rPr>
          <w:rFonts w:hint="eastAsia" w:ascii="仿宋" w:hAnsi="仿宋" w:eastAsia="仿宋" w:cs="Times New Roman"/>
          <w:sz w:val="28"/>
          <w:szCs w:val="28"/>
        </w:rPr>
        <w:t xml:space="preserve"> 公司设综合部、财务部、经营管理部、规划部、工程部、项目部、物业部七个部室。</w:t>
      </w:r>
      <w:r>
        <w:rPr>
          <w:rFonts w:hint="eastAsia" w:ascii="仿宋" w:hAnsi="仿宋" w:eastAsia="仿宋" w:cs="Times New Roman"/>
          <w:sz w:val="28"/>
          <w:szCs w:val="28"/>
          <w:lang w:val="en-US" w:eastAsia="zh-CN"/>
        </w:rPr>
        <w:t>现</w:t>
      </w:r>
      <w:r>
        <w:rPr>
          <w:rFonts w:hint="eastAsia" w:ascii="仿宋" w:hAnsi="仿宋" w:eastAsia="仿宋" w:cs="Times New Roman"/>
          <w:sz w:val="28"/>
          <w:szCs w:val="28"/>
        </w:rPr>
        <w:t>在册职工30名</w:t>
      </w:r>
      <w:r>
        <w:rPr>
          <w:rFonts w:hint="eastAsia" w:ascii="仿宋" w:hAnsi="仿宋" w:eastAsia="仿宋" w:cs="Times New Roman"/>
          <w:sz w:val="28"/>
          <w:szCs w:val="28"/>
          <w:lang w:eastAsia="zh-CN"/>
        </w:rPr>
        <w:t>。</w:t>
      </w:r>
    </w:p>
    <w:p>
      <w:pPr>
        <w:spacing w:line="620" w:lineRule="exact"/>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公司成立以后开发建设了建北花园、春晖佳园保障性住房项</w:t>
      </w:r>
      <w:r>
        <w:rPr>
          <w:rFonts w:hint="eastAsia" w:ascii="仿宋" w:hAnsi="仿宋" w:eastAsia="仿宋" w:cs="仿宋_GB2312"/>
          <w:sz w:val="28"/>
          <w:szCs w:val="28"/>
        </w:rPr>
        <w:t>目；与金城公司合作开发建工新苑项目；参与管理东曲矿高层住宅小区及屯兰矿高层住宅楼。</w:t>
      </w:r>
      <w:r>
        <w:rPr>
          <w:rFonts w:hint="eastAsia" w:ascii="仿宋" w:hAnsi="仿宋" w:eastAsia="仿宋" w:cs="Times New Roman"/>
          <w:sz w:val="28"/>
          <w:szCs w:val="28"/>
        </w:rPr>
        <w:t>公司物业部管理四个小区7栋高层住宅楼，计1460户，服务收费面积20万平方米。</w:t>
      </w:r>
    </w:p>
    <w:p>
      <w:pPr>
        <w:spacing w:line="620" w:lineRule="exact"/>
        <w:ind w:firstLine="420" w:firstLineChars="150"/>
        <w:jc w:val="left"/>
        <w:rPr>
          <w:rFonts w:hint="eastAsia" w:ascii="仿宋" w:hAnsi="仿宋" w:eastAsia="仿宋" w:cs="仿宋_GB2312"/>
          <w:sz w:val="28"/>
          <w:szCs w:val="28"/>
        </w:rPr>
      </w:pPr>
      <w:r>
        <w:rPr>
          <w:rFonts w:hint="eastAsia" w:ascii="仿宋" w:hAnsi="仿宋" w:eastAsia="仿宋" w:cs="仿宋_GB2312"/>
          <w:sz w:val="28"/>
          <w:szCs w:val="28"/>
        </w:rPr>
        <w:t>目前工作重点正在开发项目：七三楼项目桩基工程已完成、朝南新苑东区动迁基本完毕。</w:t>
      </w:r>
    </w:p>
    <w:p>
      <w:pPr>
        <w:spacing w:line="620" w:lineRule="exact"/>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未来公司开发具有西山特色的品牌住宅小区；在资金条件允许下参与商业运营管理，为开发公司转型发展寻求新路径；通过产业链的上下延伸拓展形成开发公司“改善型保障性住房开发 +商业租赁及运营+物业管理”的业务新模式。</w:t>
      </w:r>
    </w:p>
    <w:p>
      <w:pPr>
        <w:spacing w:line="620" w:lineRule="exact"/>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截至2020年12月，资产总额 9395万元，净资产 1983万元，资产负债率78.89</w:t>
      </w:r>
      <w:r>
        <w:rPr>
          <w:rFonts w:hint="eastAsia" w:ascii="仿宋" w:hAnsi="仿宋" w:eastAsia="仿宋" w:cs="仿宋"/>
          <w:sz w:val="28"/>
          <w:szCs w:val="28"/>
        </w:rPr>
        <w:t>%</w:t>
      </w:r>
      <w:r>
        <w:rPr>
          <w:rFonts w:hint="eastAsia" w:ascii="仿宋" w:hAnsi="仿宋" w:eastAsia="仿宋" w:cs="Times New Roman"/>
          <w:sz w:val="28"/>
          <w:szCs w:val="28"/>
        </w:rPr>
        <w:t>。销售收入69866万元，利润</w:t>
      </w:r>
      <w:r>
        <w:rPr>
          <w:rFonts w:hint="eastAsia" w:ascii="仿宋" w:hAnsi="仿宋" w:eastAsia="仿宋" w:cs="仿宋"/>
          <w:sz w:val="28"/>
          <w:szCs w:val="28"/>
        </w:rPr>
        <w:t>1435</w:t>
      </w:r>
      <w:r>
        <w:rPr>
          <w:rFonts w:hint="eastAsia" w:ascii="仿宋" w:hAnsi="仿宋" w:eastAsia="仿宋" w:cs="Times New Roman"/>
          <w:sz w:val="28"/>
          <w:szCs w:val="28"/>
        </w:rPr>
        <w:t>万元。</w:t>
      </w:r>
    </w:p>
    <w:p>
      <w:pPr>
        <w:widowControl/>
        <w:spacing w:after="133" w:line="493" w:lineRule="atLeast"/>
        <w:ind w:firstLine="573"/>
        <w:rPr>
          <w:rFonts w:ascii="微软雅黑" w:hAnsi="微软雅黑" w:eastAsia="微软雅黑" w:cs="宋体"/>
          <w:color w:val="3A3A3A"/>
          <w:kern w:val="0"/>
          <w:szCs w:val="21"/>
        </w:rPr>
      </w:pPr>
      <w:bookmarkStart w:id="2" w:name="_GoBack"/>
      <w:bookmarkEnd w:id="2"/>
      <w:bookmarkStart w:id="0" w:name="OLE_LINK1"/>
      <w:bookmarkStart w:id="1" w:name="OLE_LINK2"/>
      <w:r>
        <w:rPr>
          <w:rFonts w:hint="eastAsia" w:ascii="黑体" w:hAnsi="黑体" w:eastAsia="黑体" w:cs="宋体"/>
          <w:color w:val="3A3A3A"/>
          <w:kern w:val="0"/>
          <w:sz w:val="28"/>
          <w:szCs w:val="28"/>
          <w:shd w:val="clear" w:color="auto" w:fill="FFFFFF"/>
        </w:rPr>
        <w:t>二、主要会计数据和财务指标</w:t>
      </w:r>
    </w:p>
    <w:p>
      <w:pPr>
        <w:widowControl/>
        <w:spacing w:after="133" w:line="427" w:lineRule="atLeast"/>
        <w:jc w:val="center"/>
        <w:rPr>
          <w:rFonts w:ascii="微软雅黑" w:hAnsi="微软雅黑" w:eastAsia="微软雅黑" w:cs="宋体"/>
          <w:color w:val="3A3A3A"/>
          <w:kern w:val="0"/>
          <w:sz w:val="24"/>
          <w:szCs w:val="24"/>
        </w:rPr>
      </w:pPr>
      <w:r>
        <w:rPr>
          <w:rFonts w:hint="eastAsia" w:ascii="仿宋" w:hAnsi="仿宋" w:eastAsia="仿宋" w:cs="宋体"/>
          <w:color w:val="3A3A3A"/>
          <w:kern w:val="0"/>
          <w:sz w:val="24"/>
          <w:szCs w:val="24"/>
        </w:rPr>
        <w:t>财务状况基本数据</w:t>
      </w:r>
    </w:p>
    <w:p>
      <w:pPr>
        <w:widowControl/>
        <w:spacing w:after="133" w:line="427" w:lineRule="atLeast"/>
        <w:jc w:val="center"/>
        <w:rPr>
          <w:rFonts w:ascii="微软雅黑" w:hAnsi="微软雅黑" w:eastAsia="微软雅黑" w:cs="宋体"/>
          <w:color w:val="3A3A3A"/>
          <w:kern w:val="0"/>
          <w:sz w:val="24"/>
          <w:szCs w:val="24"/>
        </w:rPr>
      </w:pPr>
      <w:r>
        <w:rPr>
          <w:rFonts w:hint="eastAsia" w:ascii="仿宋" w:hAnsi="仿宋" w:eastAsia="仿宋" w:cs="宋体"/>
          <w:color w:val="3A3A3A"/>
          <w:kern w:val="0"/>
          <w:sz w:val="24"/>
          <w:szCs w:val="24"/>
        </w:rPr>
        <w:t>单位：万元</w:t>
      </w:r>
    </w:p>
    <w:tbl>
      <w:tblPr>
        <w:tblStyle w:val="5"/>
        <w:tblW w:w="0" w:type="auto"/>
        <w:tblInd w:w="0" w:type="dxa"/>
        <w:tblLayout w:type="autofit"/>
        <w:tblCellMar>
          <w:top w:w="15" w:type="dxa"/>
          <w:left w:w="15" w:type="dxa"/>
          <w:bottom w:w="15" w:type="dxa"/>
          <w:right w:w="15" w:type="dxa"/>
        </w:tblCellMar>
      </w:tblPr>
      <w:tblGrid>
        <w:gridCol w:w="1704"/>
        <w:gridCol w:w="1704"/>
        <w:gridCol w:w="1704"/>
        <w:gridCol w:w="1704"/>
      </w:tblGrid>
      <w:tr>
        <w:tblPrEx>
          <w:tblCellMar>
            <w:top w:w="15" w:type="dxa"/>
            <w:left w:w="15" w:type="dxa"/>
            <w:bottom w:w="15" w:type="dxa"/>
            <w:right w:w="15" w:type="dxa"/>
          </w:tblCellMar>
        </w:tblPrEx>
        <w:trPr>
          <w:trHeight w:val="400" w:hRule="atLeast"/>
        </w:trPr>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项 目</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期末余额</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项 目</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期末余额</w:t>
            </w:r>
          </w:p>
        </w:tc>
      </w:tr>
      <w:tr>
        <w:tblPrEx>
          <w:tblCellMar>
            <w:top w:w="15" w:type="dxa"/>
            <w:left w:w="15" w:type="dxa"/>
            <w:bottom w:w="15" w:type="dxa"/>
            <w:right w:w="15" w:type="dxa"/>
          </w:tblCellMar>
        </w:tblPrEx>
        <w:trPr>
          <w:trHeight w:val="400" w:hRule="atLeast"/>
        </w:trPr>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资产总额</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12678.74</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负债总额</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10743.57</w:t>
            </w:r>
          </w:p>
        </w:tc>
      </w:tr>
      <w:tr>
        <w:tblPrEx>
          <w:tblCellMar>
            <w:top w:w="15" w:type="dxa"/>
            <w:left w:w="15" w:type="dxa"/>
            <w:bottom w:w="15" w:type="dxa"/>
            <w:right w:w="15" w:type="dxa"/>
          </w:tblCellMar>
        </w:tblPrEx>
        <w:trPr>
          <w:trHeight w:val="400" w:hRule="atLeast"/>
        </w:trPr>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所有者权益</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1935.17</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存 货</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3955.17</w:t>
            </w:r>
          </w:p>
        </w:tc>
      </w:tr>
      <w:tr>
        <w:tblPrEx>
          <w:tblCellMar>
            <w:top w:w="15" w:type="dxa"/>
            <w:left w:w="15" w:type="dxa"/>
            <w:bottom w:w="15" w:type="dxa"/>
            <w:right w:w="15" w:type="dxa"/>
          </w:tblCellMar>
        </w:tblPrEx>
        <w:trPr>
          <w:trHeight w:val="400" w:hRule="atLeast"/>
        </w:trPr>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应收账款</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0</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应付账款</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1708.96</w:t>
            </w:r>
          </w:p>
        </w:tc>
      </w:tr>
      <w:tr>
        <w:tblPrEx>
          <w:tblCellMar>
            <w:top w:w="15" w:type="dxa"/>
            <w:left w:w="15" w:type="dxa"/>
            <w:bottom w:w="15" w:type="dxa"/>
            <w:right w:w="15" w:type="dxa"/>
          </w:tblCellMar>
        </w:tblPrEx>
        <w:trPr>
          <w:trHeight w:val="400" w:hRule="atLeast"/>
        </w:trPr>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固定资产净额</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13.14</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应交税费</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3.21</w:t>
            </w:r>
          </w:p>
        </w:tc>
      </w:tr>
    </w:tbl>
    <w:p>
      <w:pPr>
        <w:widowControl/>
        <w:spacing w:after="133" w:line="427" w:lineRule="atLeast"/>
        <w:jc w:val="center"/>
        <w:rPr>
          <w:rFonts w:ascii="微软雅黑" w:hAnsi="微软雅黑" w:eastAsia="微软雅黑" w:cs="宋体"/>
          <w:color w:val="3A3A3A"/>
          <w:kern w:val="0"/>
          <w:sz w:val="24"/>
          <w:szCs w:val="24"/>
        </w:rPr>
      </w:pPr>
      <w:r>
        <w:rPr>
          <w:rFonts w:hint="eastAsia" w:ascii="仿宋" w:hAnsi="仿宋" w:eastAsia="仿宋" w:cs="宋体"/>
          <w:color w:val="3A3A3A"/>
          <w:kern w:val="0"/>
          <w:sz w:val="24"/>
          <w:szCs w:val="24"/>
        </w:rPr>
        <w:t>经营成果基本数据</w:t>
      </w:r>
    </w:p>
    <w:p>
      <w:pPr>
        <w:widowControl/>
        <w:spacing w:after="133" w:line="427" w:lineRule="atLeast"/>
        <w:jc w:val="center"/>
        <w:rPr>
          <w:rFonts w:ascii="微软雅黑" w:hAnsi="微软雅黑" w:eastAsia="微软雅黑" w:cs="宋体"/>
          <w:color w:val="3A3A3A"/>
          <w:kern w:val="0"/>
          <w:sz w:val="24"/>
          <w:szCs w:val="24"/>
        </w:rPr>
      </w:pPr>
      <w:r>
        <w:rPr>
          <w:rFonts w:hint="eastAsia" w:ascii="仿宋" w:hAnsi="仿宋" w:eastAsia="仿宋" w:cs="宋体"/>
          <w:color w:val="3A3A3A"/>
          <w:kern w:val="0"/>
          <w:sz w:val="24"/>
          <w:szCs w:val="24"/>
        </w:rPr>
        <w:t>单位：万元</w:t>
      </w:r>
    </w:p>
    <w:tbl>
      <w:tblPr>
        <w:tblStyle w:val="5"/>
        <w:tblW w:w="0" w:type="auto"/>
        <w:tblInd w:w="0" w:type="dxa"/>
        <w:tblLayout w:type="autofit"/>
        <w:tblCellMar>
          <w:top w:w="15" w:type="dxa"/>
          <w:left w:w="15" w:type="dxa"/>
          <w:bottom w:w="15" w:type="dxa"/>
          <w:right w:w="15" w:type="dxa"/>
        </w:tblCellMar>
      </w:tblPr>
      <w:tblGrid>
        <w:gridCol w:w="1704"/>
        <w:gridCol w:w="1704"/>
        <w:gridCol w:w="1704"/>
        <w:gridCol w:w="1704"/>
      </w:tblGrid>
      <w:tr>
        <w:trPr>
          <w:trHeight w:val="400" w:hRule="atLeast"/>
        </w:trPr>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项 目</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本年累计</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项 目</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本年累计</w:t>
            </w:r>
          </w:p>
        </w:tc>
      </w:tr>
      <w:tr>
        <w:tblPrEx>
          <w:tblCellMar>
            <w:top w:w="15" w:type="dxa"/>
            <w:left w:w="15" w:type="dxa"/>
            <w:bottom w:w="15" w:type="dxa"/>
            <w:right w:w="15" w:type="dxa"/>
          </w:tblCellMar>
        </w:tblPrEx>
        <w:trPr>
          <w:trHeight w:val="400" w:hRule="atLeast"/>
        </w:trPr>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营业收入</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36.78</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销售费用</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0</w:t>
            </w:r>
          </w:p>
        </w:tc>
      </w:tr>
      <w:tr>
        <w:tblPrEx>
          <w:tblCellMar>
            <w:top w:w="15" w:type="dxa"/>
            <w:left w:w="15" w:type="dxa"/>
            <w:bottom w:w="15" w:type="dxa"/>
            <w:right w:w="15" w:type="dxa"/>
          </w:tblCellMar>
        </w:tblPrEx>
        <w:trPr>
          <w:trHeight w:val="400" w:hRule="atLeast"/>
        </w:trPr>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管理费用</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85.46</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财务费用</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0.06</w:t>
            </w:r>
          </w:p>
        </w:tc>
      </w:tr>
      <w:tr>
        <w:tblPrEx>
          <w:tblCellMar>
            <w:top w:w="15" w:type="dxa"/>
            <w:left w:w="15" w:type="dxa"/>
            <w:bottom w:w="15" w:type="dxa"/>
            <w:right w:w="15" w:type="dxa"/>
          </w:tblCellMar>
        </w:tblPrEx>
        <w:trPr>
          <w:trHeight w:val="400" w:hRule="atLeast"/>
        </w:trPr>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利润总额</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-103.21</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净利润</w:t>
            </w:r>
          </w:p>
        </w:tc>
        <w:tc>
          <w:tcPr>
            <w:tcW w:w="1704" w:type="dxa"/>
            <w:tcBorders>
              <w:top w:val="nil"/>
              <w:left w:val="nil"/>
              <w:bottom w:val="nil"/>
              <w:right w:val="nil"/>
            </w:tcBorders>
            <w:shd w:val="clear" w:color="auto" w:fill="auto"/>
            <w:tcMar>
              <w:top w:w="0" w:type="dxa"/>
              <w:left w:w="93" w:type="dxa"/>
              <w:bottom w:w="0" w:type="dxa"/>
              <w:right w:w="93" w:type="dxa"/>
            </w:tcMar>
            <w:vAlign w:val="center"/>
          </w:tcPr>
          <w:p>
            <w:pPr>
              <w:widowControl/>
              <w:spacing w:after="133" w:line="320" w:lineRule="atLeast"/>
              <w:jc w:val="center"/>
              <w:rPr>
                <w:rFonts w:ascii="宋体" w:hAnsi="宋体" w:eastAsia="宋体" w:cs="宋体"/>
                <w:color w:val="3A3A3A"/>
                <w:kern w:val="0"/>
                <w:sz w:val="24"/>
                <w:szCs w:val="24"/>
              </w:rPr>
            </w:pPr>
            <w:r>
              <w:rPr>
                <w:rFonts w:hint="eastAsia" w:ascii="仿宋" w:hAnsi="仿宋" w:eastAsia="仿宋" w:cs="宋体"/>
                <w:color w:val="3A3A3A"/>
                <w:kern w:val="0"/>
                <w:sz w:val="24"/>
                <w:szCs w:val="24"/>
              </w:rPr>
              <w:t>-103.21</w:t>
            </w:r>
          </w:p>
        </w:tc>
      </w:tr>
    </w:tbl>
    <w:p>
      <w:pPr>
        <w:widowControl/>
        <w:spacing w:after="133" w:line="493" w:lineRule="atLeast"/>
        <w:ind w:firstLine="573"/>
        <w:rPr>
          <w:rFonts w:ascii="微软雅黑" w:hAnsi="微软雅黑" w:eastAsia="微软雅黑" w:cs="宋体"/>
          <w:color w:val="3A3A3A"/>
          <w:kern w:val="0"/>
          <w:sz w:val="24"/>
          <w:szCs w:val="24"/>
        </w:rPr>
      </w:pPr>
      <w:r>
        <w:rPr>
          <w:rFonts w:hint="eastAsia" w:ascii="仿宋" w:hAnsi="仿宋" w:eastAsia="仿宋" w:cs="宋体"/>
          <w:b/>
          <w:bCs/>
          <w:color w:val="3A3A3A"/>
          <w:kern w:val="0"/>
          <w:sz w:val="24"/>
          <w:szCs w:val="24"/>
        </w:rPr>
        <w:t>预算执行情况：</w:t>
      </w:r>
    </w:p>
    <w:p>
      <w:pPr>
        <w:widowControl/>
        <w:spacing w:after="133" w:line="493" w:lineRule="atLeast"/>
        <w:ind w:firstLine="573"/>
        <w:rPr>
          <w:rFonts w:ascii="微软雅黑" w:hAnsi="微软雅黑" w:eastAsia="微软雅黑" w:cs="宋体"/>
          <w:color w:val="3A3A3A"/>
          <w:kern w:val="0"/>
          <w:sz w:val="24"/>
          <w:szCs w:val="24"/>
        </w:rPr>
      </w:pPr>
      <w:r>
        <w:rPr>
          <w:rFonts w:hint="eastAsia" w:ascii="仿宋" w:hAnsi="仿宋" w:eastAsia="仿宋" w:cs="宋体"/>
          <w:color w:val="3A3A3A"/>
          <w:kern w:val="0"/>
          <w:sz w:val="24"/>
          <w:szCs w:val="24"/>
        </w:rPr>
        <w:t>山西西山煤电房地产开发公司2021</w:t>
      </w:r>
      <w:r>
        <w:rPr>
          <w:rFonts w:hint="eastAsia" w:ascii="仿宋" w:hAnsi="仿宋" w:eastAsia="仿宋"/>
          <w:sz w:val="24"/>
          <w:szCs w:val="24"/>
        </w:rPr>
        <w:t>年全年预算收入8000万元，利润总额50万元。2021年1-3月实现营业收入36.78万元，完成全年预算的0.4%；</w:t>
      </w:r>
      <w:r>
        <w:rPr>
          <w:rFonts w:hint="eastAsia" w:ascii="仿宋" w:hAnsi="仿宋" w:eastAsia="仿宋" w:cs="宋体"/>
          <w:color w:val="3A3A3A"/>
          <w:kern w:val="0"/>
          <w:sz w:val="24"/>
          <w:szCs w:val="24"/>
        </w:rPr>
        <w:t>实现利润-103.21万元，完成全年预算的-206%。</w:t>
      </w:r>
    </w:p>
    <w:bookmarkEnd w:id="0"/>
    <w:bookmarkEnd w:id="1"/>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364E2"/>
    <w:rsid w:val="00001783"/>
    <w:rsid w:val="00003736"/>
    <w:rsid w:val="00007E13"/>
    <w:rsid w:val="000162D4"/>
    <w:rsid w:val="00020DC7"/>
    <w:rsid w:val="000468D5"/>
    <w:rsid w:val="000651AE"/>
    <w:rsid w:val="00067D96"/>
    <w:rsid w:val="00080244"/>
    <w:rsid w:val="00084D61"/>
    <w:rsid w:val="000A444B"/>
    <w:rsid w:val="000B37E9"/>
    <w:rsid w:val="000C5721"/>
    <w:rsid w:val="000D291E"/>
    <w:rsid w:val="000D7247"/>
    <w:rsid w:val="000D7C91"/>
    <w:rsid w:val="000E797C"/>
    <w:rsid w:val="001325E4"/>
    <w:rsid w:val="00142906"/>
    <w:rsid w:val="0015572D"/>
    <w:rsid w:val="00156C4E"/>
    <w:rsid w:val="00160384"/>
    <w:rsid w:val="00190899"/>
    <w:rsid w:val="00193241"/>
    <w:rsid w:val="001949CB"/>
    <w:rsid w:val="001A16BC"/>
    <w:rsid w:val="001A5432"/>
    <w:rsid w:val="001A63EA"/>
    <w:rsid w:val="001A7FF8"/>
    <w:rsid w:val="001B2246"/>
    <w:rsid w:val="001C6E12"/>
    <w:rsid w:val="001C7F63"/>
    <w:rsid w:val="001E3709"/>
    <w:rsid w:val="001E784F"/>
    <w:rsid w:val="001F7952"/>
    <w:rsid w:val="00221616"/>
    <w:rsid w:val="0023632D"/>
    <w:rsid w:val="002673DD"/>
    <w:rsid w:val="00281044"/>
    <w:rsid w:val="00291886"/>
    <w:rsid w:val="002A7014"/>
    <w:rsid w:val="002C1A0A"/>
    <w:rsid w:val="002D3F00"/>
    <w:rsid w:val="002D43DB"/>
    <w:rsid w:val="002D6873"/>
    <w:rsid w:val="002D6BC7"/>
    <w:rsid w:val="002F3817"/>
    <w:rsid w:val="00310F72"/>
    <w:rsid w:val="00347123"/>
    <w:rsid w:val="0036714B"/>
    <w:rsid w:val="003700AC"/>
    <w:rsid w:val="00374821"/>
    <w:rsid w:val="003772ED"/>
    <w:rsid w:val="00383002"/>
    <w:rsid w:val="00385C70"/>
    <w:rsid w:val="00385DCC"/>
    <w:rsid w:val="00386958"/>
    <w:rsid w:val="00391BCE"/>
    <w:rsid w:val="003A3C03"/>
    <w:rsid w:val="003D5A0A"/>
    <w:rsid w:val="004267E0"/>
    <w:rsid w:val="004420E0"/>
    <w:rsid w:val="004557BD"/>
    <w:rsid w:val="00482B8A"/>
    <w:rsid w:val="004A66BE"/>
    <w:rsid w:val="004A6FB8"/>
    <w:rsid w:val="004B5F79"/>
    <w:rsid w:val="004C1364"/>
    <w:rsid w:val="004C4605"/>
    <w:rsid w:val="004E215A"/>
    <w:rsid w:val="004E237E"/>
    <w:rsid w:val="0053540A"/>
    <w:rsid w:val="005364E2"/>
    <w:rsid w:val="00550609"/>
    <w:rsid w:val="00553299"/>
    <w:rsid w:val="00567677"/>
    <w:rsid w:val="005808B3"/>
    <w:rsid w:val="00584B07"/>
    <w:rsid w:val="005D449D"/>
    <w:rsid w:val="005E329B"/>
    <w:rsid w:val="005E55E7"/>
    <w:rsid w:val="005E6966"/>
    <w:rsid w:val="006131C1"/>
    <w:rsid w:val="006269CB"/>
    <w:rsid w:val="00643ACF"/>
    <w:rsid w:val="00646B06"/>
    <w:rsid w:val="00662087"/>
    <w:rsid w:val="00666206"/>
    <w:rsid w:val="00672E80"/>
    <w:rsid w:val="006B271F"/>
    <w:rsid w:val="006C2571"/>
    <w:rsid w:val="006E399F"/>
    <w:rsid w:val="006E5A23"/>
    <w:rsid w:val="006F59C9"/>
    <w:rsid w:val="00704E7D"/>
    <w:rsid w:val="007262DF"/>
    <w:rsid w:val="00746D19"/>
    <w:rsid w:val="00767724"/>
    <w:rsid w:val="00794972"/>
    <w:rsid w:val="007A68A6"/>
    <w:rsid w:val="007A7DA9"/>
    <w:rsid w:val="007B3D93"/>
    <w:rsid w:val="007C1FD9"/>
    <w:rsid w:val="007D371C"/>
    <w:rsid w:val="007F62B5"/>
    <w:rsid w:val="00826260"/>
    <w:rsid w:val="0083566E"/>
    <w:rsid w:val="00837B3A"/>
    <w:rsid w:val="008404AC"/>
    <w:rsid w:val="0085441E"/>
    <w:rsid w:val="0085744E"/>
    <w:rsid w:val="0087744F"/>
    <w:rsid w:val="008845A9"/>
    <w:rsid w:val="0088500D"/>
    <w:rsid w:val="008A3DA1"/>
    <w:rsid w:val="008B0340"/>
    <w:rsid w:val="008E4B30"/>
    <w:rsid w:val="008F0F0C"/>
    <w:rsid w:val="00900042"/>
    <w:rsid w:val="009264BC"/>
    <w:rsid w:val="00926D40"/>
    <w:rsid w:val="00936069"/>
    <w:rsid w:val="00941EB9"/>
    <w:rsid w:val="00944EE8"/>
    <w:rsid w:val="00946CCD"/>
    <w:rsid w:val="00953A5E"/>
    <w:rsid w:val="009577BF"/>
    <w:rsid w:val="00957C13"/>
    <w:rsid w:val="009733FB"/>
    <w:rsid w:val="009806A7"/>
    <w:rsid w:val="00980F93"/>
    <w:rsid w:val="009A6E29"/>
    <w:rsid w:val="009B3CDB"/>
    <w:rsid w:val="009C59ED"/>
    <w:rsid w:val="009D207C"/>
    <w:rsid w:val="009E7ECE"/>
    <w:rsid w:val="009F4198"/>
    <w:rsid w:val="00A046D1"/>
    <w:rsid w:val="00A10506"/>
    <w:rsid w:val="00A21CAF"/>
    <w:rsid w:val="00A23A8A"/>
    <w:rsid w:val="00A30EA3"/>
    <w:rsid w:val="00A461D6"/>
    <w:rsid w:val="00A609B2"/>
    <w:rsid w:val="00A63FDB"/>
    <w:rsid w:val="00A72772"/>
    <w:rsid w:val="00A74B10"/>
    <w:rsid w:val="00A85B32"/>
    <w:rsid w:val="00AB59D4"/>
    <w:rsid w:val="00AC073E"/>
    <w:rsid w:val="00AC17D3"/>
    <w:rsid w:val="00AC5384"/>
    <w:rsid w:val="00AD1AA8"/>
    <w:rsid w:val="00AD270C"/>
    <w:rsid w:val="00AD6C59"/>
    <w:rsid w:val="00AE0023"/>
    <w:rsid w:val="00AF02E0"/>
    <w:rsid w:val="00B067C5"/>
    <w:rsid w:val="00B132F2"/>
    <w:rsid w:val="00B135AC"/>
    <w:rsid w:val="00B213E4"/>
    <w:rsid w:val="00B2153E"/>
    <w:rsid w:val="00B27184"/>
    <w:rsid w:val="00B40418"/>
    <w:rsid w:val="00B45C87"/>
    <w:rsid w:val="00B465CC"/>
    <w:rsid w:val="00B5334D"/>
    <w:rsid w:val="00B616B5"/>
    <w:rsid w:val="00B760E3"/>
    <w:rsid w:val="00B81B7F"/>
    <w:rsid w:val="00BA5401"/>
    <w:rsid w:val="00BB6DD9"/>
    <w:rsid w:val="00BC6AE3"/>
    <w:rsid w:val="00BF2854"/>
    <w:rsid w:val="00BF3B64"/>
    <w:rsid w:val="00C00205"/>
    <w:rsid w:val="00C05EAD"/>
    <w:rsid w:val="00C15977"/>
    <w:rsid w:val="00C2116D"/>
    <w:rsid w:val="00C2309B"/>
    <w:rsid w:val="00C24764"/>
    <w:rsid w:val="00C3167A"/>
    <w:rsid w:val="00C55A93"/>
    <w:rsid w:val="00C72F70"/>
    <w:rsid w:val="00C8503F"/>
    <w:rsid w:val="00C859D4"/>
    <w:rsid w:val="00C90C82"/>
    <w:rsid w:val="00C95CC4"/>
    <w:rsid w:val="00CA0743"/>
    <w:rsid w:val="00CA7086"/>
    <w:rsid w:val="00CC1784"/>
    <w:rsid w:val="00CD4F2B"/>
    <w:rsid w:val="00CE1518"/>
    <w:rsid w:val="00CE74BB"/>
    <w:rsid w:val="00CF13B3"/>
    <w:rsid w:val="00CF5D41"/>
    <w:rsid w:val="00D02F22"/>
    <w:rsid w:val="00D3005D"/>
    <w:rsid w:val="00D318A8"/>
    <w:rsid w:val="00D3490B"/>
    <w:rsid w:val="00D3618D"/>
    <w:rsid w:val="00D377F4"/>
    <w:rsid w:val="00D658D1"/>
    <w:rsid w:val="00D91EB1"/>
    <w:rsid w:val="00D928B5"/>
    <w:rsid w:val="00D95EDA"/>
    <w:rsid w:val="00D97880"/>
    <w:rsid w:val="00DA534B"/>
    <w:rsid w:val="00DC4419"/>
    <w:rsid w:val="00DC4CDB"/>
    <w:rsid w:val="00DE54B2"/>
    <w:rsid w:val="00DF14D4"/>
    <w:rsid w:val="00DF53B6"/>
    <w:rsid w:val="00DF64B0"/>
    <w:rsid w:val="00E071B5"/>
    <w:rsid w:val="00E11742"/>
    <w:rsid w:val="00E13BFD"/>
    <w:rsid w:val="00E16B7E"/>
    <w:rsid w:val="00E209EC"/>
    <w:rsid w:val="00E25190"/>
    <w:rsid w:val="00E2538B"/>
    <w:rsid w:val="00E30C6B"/>
    <w:rsid w:val="00E31284"/>
    <w:rsid w:val="00E3287E"/>
    <w:rsid w:val="00E33B5D"/>
    <w:rsid w:val="00E3680B"/>
    <w:rsid w:val="00E508D6"/>
    <w:rsid w:val="00E746AA"/>
    <w:rsid w:val="00E83111"/>
    <w:rsid w:val="00E951EF"/>
    <w:rsid w:val="00E956F6"/>
    <w:rsid w:val="00EA1526"/>
    <w:rsid w:val="00EA5AD0"/>
    <w:rsid w:val="00EB2C07"/>
    <w:rsid w:val="00EB7931"/>
    <w:rsid w:val="00ED09D0"/>
    <w:rsid w:val="00ED18F6"/>
    <w:rsid w:val="00ED5389"/>
    <w:rsid w:val="00EE6F49"/>
    <w:rsid w:val="00EF41D5"/>
    <w:rsid w:val="00EF514A"/>
    <w:rsid w:val="00F03090"/>
    <w:rsid w:val="00F064DD"/>
    <w:rsid w:val="00F0656D"/>
    <w:rsid w:val="00F1790A"/>
    <w:rsid w:val="00F213B4"/>
    <w:rsid w:val="00F31EA2"/>
    <w:rsid w:val="00F4223F"/>
    <w:rsid w:val="00F51B5D"/>
    <w:rsid w:val="00F53FD2"/>
    <w:rsid w:val="00F6175F"/>
    <w:rsid w:val="00F62C6A"/>
    <w:rsid w:val="00F72299"/>
    <w:rsid w:val="00F873A2"/>
    <w:rsid w:val="00F9037A"/>
    <w:rsid w:val="00FA1187"/>
    <w:rsid w:val="00FB406C"/>
    <w:rsid w:val="00FB5B62"/>
    <w:rsid w:val="00FE06A3"/>
    <w:rsid w:val="00FE585B"/>
    <w:rsid w:val="00FF366E"/>
    <w:rsid w:val="0B115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semiHidden/>
    <w:unhideWhenUsed/>
    <w:uiPriority w:val="99"/>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页眉 Char"/>
    <w:basedOn w:val="6"/>
    <w:link w:val="3"/>
    <w:semiHidden/>
    <w:uiPriority w:val="99"/>
    <w:rPr>
      <w:sz w:val="18"/>
      <w:szCs w:val="18"/>
    </w:rPr>
  </w:style>
  <w:style w:type="character" w:customStyle="1" w:styleId="10">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194</Words>
  <Characters>1107</Characters>
  <Lines>9</Lines>
  <Paragraphs>2</Paragraphs>
  <TotalTime>1</TotalTime>
  <ScaleCrop>false</ScaleCrop>
  <LinksUpToDate>false</LinksUpToDate>
  <CharactersWithSpaces>1299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2022-01-28T03:52:00Z</dcterms:created>
  <dc:creator>邵政新</dc:creator>
  <cp:lastModifiedBy>王文业</cp:lastModifiedBy>
  <dcterms:modified xsi:type="dcterms:W3CDTF">2022-01-30T08:18:17Z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0EAAED85ED0248F6893DD360001C3EB2</vt:lpwstr>
  </property>
</Properties>
</file>